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" w:line="185" w:lineRule="auto"/>
        <w:ind w:left="2462"/>
        <w:outlineLvl w:val="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-2"/>
          <w:sz w:val="32"/>
          <w:szCs w:val="32"/>
        </w:rPr>
        <w:t>其他运转类项目支出绩效目标申报表</w:t>
      </w:r>
    </w:p>
    <w:p>
      <w:pPr>
        <w:spacing w:line="270" w:lineRule="exact"/>
        <w:ind w:left="40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position w:val="2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-2"/>
          <w:position w:val="2"/>
          <w:sz w:val="24"/>
          <w:szCs w:val="24"/>
        </w:rPr>
        <w:t>2026</w:t>
      </w:r>
      <w:r>
        <w:rPr>
          <w:rFonts w:ascii="宋体" w:hAnsi="宋体" w:eastAsia="宋体" w:cs="宋体"/>
          <w:spacing w:val="-2"/>
          <w:position w:val="2"/>
          <w:sz w:val="24"/>
          <w:szCs w:val="24"/>
        </w:rPr>
        <w:t>年度）</w:t>
      </w:r>
    </w:p>
    <w:p>
      <w:pPr>
        <w:spacing w:line="25" w:lineRule="exact"/>
        <w:rPr>
          <w:sz w:val="24"/>
          <w:szCs w:val="24"/>
        </w:rPr>
      </w:pPr>
    </w:p>
    <w:tbl>
      <w:tblPr>
        <w:tblStyle w:val="6"/>
        <w:tblW w:w="940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709"/>
        <w:gridCol w:w="996"/>
        <w:gridCol w:w="115"/>
        <w:gridCol w:w="3077"/>
        <w:gridCol w:w="358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623" w:type="dxa"/>
            <w:gridSpan w:val="3"/>
            <w:noWrap w:val="0"/>
            <w:vAlign w:val="top"/>
          </w:tcPr>
          <w:p>
            <w:pPr>
              <w:spacing w:before="47" w:line="220" w:lineRule="auto"/>
              <w:ind w:left="85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项目名称</w:t>
            </w:r>
          </w:p>
        </w:tc>
        <w:tc>
          <w:tcPr>
            <w:tcW w:w="6777" w:type="dxa"/>
            <w:gridSpan w:val="3"/>
            <w:noWrap w:val="0"/>
            <w:vAlign w:val="top"/>
          </w:tcPr>
          <w:p>
            <w:pPr>
              <w:spacing w:before="47" w:line="219" w:lineRule="auto"/>
              <w:ind w:left="279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医疗卫生管理经费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23" w:type="dxa"/>
            <w:gridSpan w:val="3"/>
            <w:noWrap w:val="0"/>
            <w:vAlign w:val="top"/>
          </w:tcPr>
          <w:p>
            <w:pPr>
              <w:spacing w:before="52" w:line="218" w:lineRule="auto"/>
              <w:ind w:left="85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预算单位</w:t>
            </w:r>
          </w:p>
        </w:tc>
        <w:tc>
          <w:tcPr>
            <w:tcW w:w="6777" w:type="dxa"/>
            <w:gridSpan w:val="3"/>
            <w:noWrap w:val="0"/>
            <w:vAlign w:val="top"/>
          </w:tcPr>
          <w:p>
            <w:pPr>
              <w:spacing w:before="52" w:line="218" w:lineRule="auto"/>
              <w:ind w:left="84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攀枝花市仁和区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布德镇卫生院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23" w:type="dxa"/>
            <w:gridSpan w:val="3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230" w:line="234" w:lineRule="auto"/>
              <w:ind w:left="718" w:leftChars="342" w:right="828" w:firstLine="0" w:firstLineChars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项目资金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（万元）</w:t>
            </w:r>
          </w:p>
        </w:tc>
        <w:tc>
          <w:tcPr>
            <w:tcW w:w="3192" w:type="dxa"/>
            <w:gridSpan w:val="2"/>
            <w:noWrap w:val="0"/>
            <w:vAlign w:val="top"/>
          </w:tcPr>
          <w:p>
            <w:pPr>
              <w:spacing w:before="53" w:line="217" w:lineRule="auto"/>
              <w:ind w:left="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年度资金总额</w:t>
            </w:r>
            <w:r>
              <w:rPr>
                <w:rFonts w:ascii="宋体" w:hAnsi="宋体" w:eastAsia="宋体" w:cs="宋体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: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53" w:line="217" w:lineRule="auto"/>
              <w:ind w:left="44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261.11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23" w:type="dxa"/>
            <w:gridSpan w:val="3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3192" w:type="dxa"/>
            <w:gridSpan w:val="2"/>
            <w:noWrap w:val="0"/>
            <w:vAlign w:val="top"/>
          </w:tcPr>
          <w:p>
            <w:pPr>
              <w:spacing w:before="53" w:line="217" w:lineRule="auto"/>
              <w:ind w:left="1081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 xml:space="preserve"> 其中：财政拨款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pStyle w:val="4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4"/>
                <w:szCs w:val="24"/>
                <w:lang w:val="en-US" w:eastAsia="zh-CN" w:bidi="ar-SA"/>
              </w:rPr>
              <w:t>61.11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2623" w:type="dxa"/>
            <w:gridSpan w:val="3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3192" w:type="dxa"/>
            <w:gridSpan w:val="2"/>
            <w:noWrap w:val="0"/>
            <w:vAlign w:val="top"/>
          </w:tcPr>
          <w:p>
            <w:pPr>
              <w:spacing w:before="54" w:line="216" w:lineRule="auto"/>
              <w:ind w:left="1350" w:firstLine="472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其他资金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54" w:line="216" w:lineRule="auto"/>
              <w:ind w:left="44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00.00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6" w:hRule="atLeast"/>
        </w:trPr>
        <w:tc>
          <w:tcPr>
            <w:tcW w:w="918" w:type="dxa"/>
            <w:tcBorders>
              <w:top w:val="nil"/>
            </w:tcBorders>
            <w:noWrap w:val="0"/>
            <w:textDirection w:val="tbRlV"/>
            <w:vAlign w:val="center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3"/>
                <w:sz w:val="24"/>
                <w:szCs w:val="24"/>
              </w:rPr>
              <w:t>总体目标</w:t>
            </w:r>
          </w:p>
        </w:tc>
        <w:tc>
          <w:tcPr>
            <w:tcW w:w="8482" w:type="dxa"/>
            <w:gridSpan w:val="5"/>
            <w:noWrap w:val="0"/>
            <w:vAlign w:val="top"/>
          </w:tcPr>
          <w:p>
            <w:pPr>
              <w:spacing w:before="41" w:line="231" w:lineRule="auto"/>
              <w:ind w:left="32" w:right="54"/>
              <w:jc w:val="both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加强医疗质量管理，保障医疗安全。争取卫生院门诊人次在2025年基础上增加3%，住院人次增加3%。强化12项基本公共卫生服务项目管理，提升服务质量和规范管理水平，加强65岁以上老年人健康管理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，提高重点人群健</w:t>
            </w:r>
            <w:r>
              <w:rPr>
                <w:rFonts w:ascii="宋体" w:hAnsi="宋体" w:eastAsia="宋体" w:cs="宋体"/>
                <w:sz w:val="24"/>
                <w:szCs w:val="24"/>
              </w:rPr>
              <w:t>康水平， 降低婴儿、孕产妇死亡率，降低法定传染病发病率，进一步提升城乡居民健康水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平，缩小不同收入水</w:t>
            </w:r>
            <w:r>
              <w:rPr>
                <w:rFonts w:ascii="宋体" w:hAnsi="宋体" w:eastAsia="宋体" w:cs="宋体"/>
                <w:sz w:val="24"/>
                <w:szCs w:val="24"/>
              </w:rPr>
              <w:t>平居民之间的健康差距，不断增强人民群众的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获得感和幸福感。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918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4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4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4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4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4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4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4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4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4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4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4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4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4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4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4"/>
              <w:spacing w:line="255" w:lineRule="auto"/>
              <w:rPr>
                <w:sz w:val="24"/>
                <w:szCs w:val="24"/>
              </w:rPr>
            </w:pPr>
          </w:p>
          <w:p>
            <w:pPr>
              <w:spacing w:before="59" w:line="234" w:lineRule="auto"/>
              <w:ind w:left="44" w:right="16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绩效指标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before="57" w:line="222" w:lineRule="auto"/>
              <w:ind w:left="3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一级</w:t>
            </w:r>
          </w:p>
          <w:p>
            <w:pPr>
              <w:spacing w:before="9" w:line="215" w:lineRule="auto"/>
              <w:ind w:left="3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指标</w:t>
            </w: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69" w:line="221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二级指标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69" w:line="221" w:lineRule="auto"/>
              <w:ind w:left="3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三级指标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70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指标值（包含数字及文字描述）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4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4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4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4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4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spacing w:before="59" w:line="234" w:lineRule="auto"/>
              <w:ind w:right="163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项目完成</w:t>
            </w: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4"/>
              <w:spacing w:line="308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4"/>
              <w:spacing w:line="308" w:lineRule="auto"/>
              <w:jc w:val="center"/>
              <w:rPr>
                <w:sz w:val="24"/>
                <w:szCs w:val="24"/>
              </w:rPr>
            </w:pPr>
          </w:p>
          <w:p>
            <w:pPr>
              <w:spacing w:before="59" w:line="220" w:lineRule="auto"/>
              <w:ind w:left="3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数量指标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2" w:line="219" w:lineRule="auto"/>
              <w:ind w:left="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专业技术人员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3" w:line="223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33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4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公共卫生服务覆盖人数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4" w:line="219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18284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5" w:line="220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医务人员培训次数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5" w:line="220" w:lineRule="auto"/>
              <w:ind w:left="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≥12次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6" w:line="220" w:lineRule="auto"/>
              <w:ind w:left="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门诊服务人次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6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较上年增长3%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8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公共卫生项目完成合格率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8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08" w:line="240" w:lineRule="auto"/>
              <w:ind w:left="4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eastAsia="zh-CN"/>
              </w:rPr>
              <w:t>时效指标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经费支出完成率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9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按序时进度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09" w:line="219" w:lineRule="auto"/>
              <w:ind w:left="34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质量指标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8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公共卫生项目完成合格率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9" w:line="219" w:lineRule="auto"/>
              <w:ind w:left="38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09" w:line="219" w:lineRule="auto"/>
              <w:ind w:left="3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成本指标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医疗卫生管理经费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8" w:line="221" w:lineRule="auto"/>
              <w:ind w:left="44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26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1.11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万元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其中：劳务费100万元、药品及耗材150万元、机构运转经费11.11万元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  <w:p>
            <w:pPr>
              <w:pStyle w:val="4"/>
              <w:jc w:val="center"/>
              <w:rPr>
                <w:sz w:val="24"/>
                <w:szCs w:val="24"/>
              </w:rPr>
            </w:pPr>
          </w:p>
          <w:p>
            <w:pPr>
              <w:pStyle w:val="4"/>
              <w:jc w:val="center"/>
              <w:rPr>
                <w:sz w:val="24"/>
                <w:szCs w:val="24"/>
              </w:rPr>
            </w:pPr>
          </w:p>
          <w:p>
            <w:pPr>
              <w:pStyle w:val="4"/>
              <w:jc w:val="center"/>
              <w:rPr>
                <w:sz w:val="24"/>
                <w:szCs w:val="24"/>
              </w:rPr>
            </w:pPr>
          </w:p>
          <w:p>
            <w:pPr>
              <w:pStyle w:val="4"/>
              <w:jc w:val="center"/>
              <w:rPr>
                <w:sz w:val="24"/>
                <w:szCs w:val="24"/>
              </w:rPr>
            </w:pPr>
          </w:p>
          <w:p>
            <w:pPr>
              <w:pStyle w:val="4"/>
              <w:jc w:val="center"/>
              <w:rPr>
                <w:sz w:val="24"/>
                <w:szCs w:val="24"/>
              </w:rPr>
            </w:pPr>
          </w:p>
          <w:p>
            <w:pPr>
              <w:pStyle w:val="4"/>
              <w:jc w:val="center"/>
              <w:rPr>
                <w:sz w:val="24"/>
                <w:szCs w:val="24"/>
              </w:rPr>
            </w:pPr>
          </w:p>
          <w:p>
            <w:pPr>
              <w:pStyle w:val="4"/>
              <w:jc w:val="center"/>
              <w:rPr>
                <w:sz w:val="24"/>
                <w:szCs w:val="24"/>
              </w:rPr>
            </w:pPr>
          </w:p>
          <w:p>
            <w:pPr>
              <w:pStyle w:val="4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项目效益</w:t>
            </w: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经济效益指标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群众就医成本降低幅度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较上年下降3%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  <w:p>
            <w:pPr>
              <w:spacing w:before="109" w:line="221" w:lineRule="auto"/>
              <w:ind w:left="34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社会效益指标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10" w:line="220" w:lineRule="auto"/>
              <w:ind w:left="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深化医疗卫生体制改革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20" w:lineRule="auto"/>
              <w:ind w:left="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提升改善医疗服务质量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0" w:line="219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辖区居民就医可及性提升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成效明显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0" w:line="216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传染病防控成效（发病率）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16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传染病发病率较上年下降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before="111" w:line="220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慢病规范管理率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0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≥90%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before="109" w:line="221" w:lineRule="auto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生态效益指标</w:t>
            </w:r>
          </w:p>
        </w:tc>
        <w:tc>
          <w:tcPr>
            <w:tcW w:w="307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before="111" w:line="220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医疗废弃物合规处置率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0" w:lineRule="auto"/>
              <w:ind w:left="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1" w:line="220" w:lineRule="auto"/>
              <w:ind w:left="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污水处理达标率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可持续影响指标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11" w:line="219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医疗服务能力可持续性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19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持续提升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4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2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公共卫生服务体系稳定性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1" w:lineRule="auto"/>
              <w:ind w:left="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长期有效运行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before="78" w:line="220" w:lineRule="auto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  <w:highlight w:val="none"/>
              </w:rPr>
              <w:t>满意</w:t>
            </w:r>
          </w:p>
          <w:p>
            <w:pPr>
              <w:spacing w:before="10" w:line="230" w:lineRule="auto"/>
              <w:ind w:left="33" w:right="163" w:hanging="1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  <w:highlight w:val="none"/>
              </w:rPr>
              <w:t>度指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标</w:t>
            </w: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4"/>
              <w:spacing w:line="244" w:lineRule="auto"/>
              <w:jc w:val="center"/>
              <w:rPr>
                <w:sz w:val="24"/>
                <w:szCs w:val="24"/>
              </w:rPr>
            </w:pPr>
          </w:p>
          <w:p>
            <w:pPr>
              <w:spacing w:before="58" w:line="220" w:lineRule="auto"/>
              <w:ind w:left="3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满意度指标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12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患者满意度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2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1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4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2" w:line="219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辖区居民对公共卫生服务满意度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2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≥95%</w:t>
            </w:r>
          </w:p>
        </w:tc>
      </w:tr>
    </w:tbl>
    <w:p>
      <w:pPr>
        <w:rPr>
          <w:rFonts w:ascii="Arial"/>
          <w:sz w:val="28"/>
          <w:szCs w:val="28"/>
        </w:rPr>
      </w:pPr>
    </w:p>
    <w:sectPr>
      <w:pgSz w:w="11905" w:h="16837"/>
      <w:pgMar w:top="1090" w:right="1491" w:bottom="0" w:left="9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500"/>
  <w:hyphenationZone w:val="36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97764"/>
    <w:rsid w:val="083E7612"/>
    <w:rsid w:val="088F5575"/>
    <w:rsid w:val="0C392A6B"/>
    <w:rsid w:val="0C5651C9"/>
    <w:rsid w:val="0CCA5895"/>
    <w:rsid w:val="0F391FA5"/>
    <w:rsid w:val="109A294A"/>
    <w:rsid w:val="10D3034B"/>
    <w:rsid w:val="115F2D57"/>
    <w:rsid w:val="11B21219"/>
    <w:rsid w:val="16C91DA8"/>
    <w:rsid w:val="1D135AC2"/>
    <w:rsid w:val="2091347B"/>
    <w:rsid w:val="23F2169E"/>
    <w:rsid w:val="25AA7CDA"/>
    <w:rsid w:val="260A0FF9"/>
    <w:rsid w:val="26B01787"/>
    <w:rsid w:val="2BF12D1A"/>
    <w:rsid w:val="2D466457"/>
    <w:rsid w:val="2D6D7CCB"/>
    <w:rsid w:val="320A052B"/>
    <w:rsid w:val="32A0461A"/>
    <w:rsid w:val="32A852AA"/>
    <w:rsid w:val="37DD4F69"/>
    <w:rsid w:val="3A1D3B67"/>
    <w:rsid w:val="3C1D10AF"/>
    <w:rsid w:val="3EEA24C6"/>
    <w:rsid w:val="3F9C7D6C"/>
    <w:rsid w:val="41103D75"/>
    <w:rsid w:val="41CC0BC7"/>
    <w:rsid w:val="42573468"/>
    <w:rsid w:val="489354A0"/>
    <w:rsid w:val="4AB92C27"/>
    <w:rsid w:val="4DD712E5"/>
    <w:rsid w:val="50AB15EE"/>
    <w:rsid w:val="52CD6A64"/>
    <w:rsid w:val="53331C8C"/>
    <w:rsid w:val="53944CA2"/>
    <w:rsid w:val="54824E31"/>
    <w:rsid w:val="5508327F"/>
    <w:rsid w:val="55EE4920"/>
    <w:rsid w:val="57BD2100"/>
    <w:rsid w:val="58882ACE"/>
    <w:rsid w:val="5B2D07A3"/>
    <w:rsid w:val="5BB86188"/>
    <w:rsid w:val="5ED35121"/>
    <w:rsid w:val="5F983B40"/>
    <w:rsid w:val="610136A6"/>
    <w:rsid w:val="619032B8"/>
    <w:rsid w:val="62E742D1"/>
    <w:rsid w:val="656E0379"/>
    <w:rsid w:val="69883AB0"/>
    <w:rsid w:val="6A3B4BD9"/>
    <w:rsid w:val="6C747F24"/>
    <w:rsid w:val="6CE1032F"/>
    <w:rsid w:val="722D62E3"/>
    <w:rsid w:val="75E95CFE"/>
    <w:rsid w:val="7DC665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2026-01-08T11:50:00Z</dcterms:created>
  <dc:creator>Administrator</dc:creator>
  <cp:lastModifiedBy>刘芸</cp:lastModifiedBy>
  <dcterms:modified xsi:type="dcterms:W3CDTF">2026-01-27T03:20:04Z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2026-01-08T11:50:35Z</vt:filetime>
  </property>
  <property fmtid="{D5CDD505-2E9C-101B-9397-08002B2CF9AE}" pid="4" name="KSOProductBuildVer">
    <vt:lpwstr>2052-11.8.6.11825</vt:lpwstr>
  </property>
  <property fmtid="{D5CDD505-2E9C-101B-9397-08002B2CF9AE}" pid="5" name="ICV">
    <vt:lpwstr>D8EC495B7D3E43B8896F7742A63ADE0D</vt:lpwstr>
  </property>
</Properties>
</file>